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Pr="00B83236" w:rsidRDefault="003047D0" w:rsidP="008A229B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FF4488" w:rsidTr="00250455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B6491A" w:rsidRDefault="004116EE" w:rsidP="00A06777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 w:rsidRPr="00B6491A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PQ 1.7.1</w:t>
            </w:r>
            <w:r w:rsidR="00775A0A"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f</w:t>
            </w:r>
            <w:r w:rsidR="004825DC" w:rsidRPr="00B6491A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B6491A" w:rsidRDefault="00DA4D40" w:rsidP="00A06777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Procedura di p</w:t>
            </w:r>
            <w:r w:rsidR="00FB40C7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ubblico concorso e selettiva</w:t>
            </w:r>
            <w:r w:rsidR="009E7B1F" w:rsidRPr="00B6491A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(P</w:t>
            </w:r>
            <w:r w:rsidR="00AF475E" w:rsidRPr="00B6491A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arte </w:t>
            </w:r>
            <w:r w:rsidR="00A06777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II</w:t>
            </w:r>
            <w:r w:rsidR="00AF475E" w:rsidRPr="00B6491A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)</w:t>
            </w:r>
          </w:p>
        </w:tc>
      </w:tr>
    </w:tbl>
    <w:p w:rsidR="00896091" w:rsidRPr="00F35236" w:rsidRDefault="00896091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FF4488" w:rsidTr="00250455">
        <w:tc>
          <w:tcPr>
            <w:tcW w:w="1526" w:type="dxa"/>
          </w:tcPr>
          <w:p w:rsidR="001354B7" w:rsidRPr="000976C3" w:rsidRDefault="00ED11A8" w:rsidP="000976C3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1354B7" w:rsidRPr="001C5B68" w:rsidRDefault="00106403" w:rsidP="00FB40C7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l presente PQ descrive le attività </w:t>
            </w:r>
            <w:r w:rsidR="00E34B26">
              <w:rPr>
                <w:rFonts w:ascii="Gill Sans MT" w:hAnsi="Gill Sans MT"/>
                <w:lang w:val="it-IT" w:eastAsia="it-IT"/>
              </w:rPr>
              <w:t xml:space="preserve">della procedura </w:t>
            </w:r>
            <w:r w:rsidR="00DA4D40">
              <w:rPr>
                <w:rFonts w:ascii="Gill Sans MT" w:hAnsi="Gill Sans MT"/>
                <w:lang w:val="it-IT" w:eastAsia="it-IT"/>
              </w:rPr>
              <w:t>di pubblico concorso</w:t>
            </w:r>
            <w:r w:rsidR="00FB40C7">
              <w:rPr>
                <w:rFonts w:ascii="Gill Sans MT" w:hAnsi="Gill Sans MT"/>
                <w:lang w:val="it-IT" w:eastAsia="it-IT"/>
              </w:rPr>
              <w:t xml:space="preserve"> e selettiva</w:t>
            </w:r>
            <w:r w:rsidR="00E34B26">
              <w:rPr>
                <w:rFonts w:ascii="Gill Sans MT" w:hAnsi="Gill Sans MT"/>
                <w:lang w:val="it-IT" w:eastAsia="it-IT"/>
              </w:rPr>
              <w:t xml:space="preserve"> 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>che devono essere svolte</w:t>
            </w:r>
            <w:r w:rsidR="00E34B26">
              <w:rPr>
                <w:rFonts w:ascii="Gill Sans MT" w:hAnsi="Gill Sans MT"/>
                <w:lang w:val="it-IT" w:eastAsia="it-IT"/>
              </w:rPr>
              <w:t xml:space="preserve"> </w:t>
            </w:r>
            <w:r w:rsidR="00773B26">
              <w:rPr>
                <w:rFonts w:ascii="Gill Sans MT" w:hAnsi="Gill Sans MT"/>
                <w:lang w:val="it-IT" w:eastAsia="it-IT"/>
              </w:rPr>
              <w:t xml:space="preserve">dopo la </w:t>
            </w:r>
            <w:r w:rsidR="007F31C1">
              <w:rPr>
                <w:rFonts w:ascii="Gill Sans MT" w:hAnsi="Gill Sans MT"/>
                <w:lang w:val="it-IT" w:eastAsia="it-IT"/>
              </w:rPr>
              <w:t>registrazione delle offerte ricevute</w:t>
            </w:r>
            <w:r w:rsidR="00773B26">
              <w:rPr>
                <w:rFonts w:ascii="Gill Sans MT" w:hAnsi="Gill Sans MT"/>
                <w:lang w:val="it-IT" w:eastAsia="it-IT"/>
              </w:rPr>
              <w:t xml:space="preserve">, </w:t>
            </w:r>
            <w:r w:rsidR="00A15BE3">
              <w:rPr>
                <w:rFonts w:ascii="Gill Sans MT" w:hAnsi="Gill Sans MT"/>
                <w:lang w:val="it-IT" w:eastAsia="it-IT"/>
              </w:rPr>
              <w:t>dal</w:t>
            </w:r>
            <w:r w:rsidR="00773B26">
              <w:rPr>
                <w:rFonts w:ascii="Gill Sans MT" w:hAnsi="Gill Sans MT"/>
                <w:lang w:val="it-IT" w:eastAsia="it-IT"/>
              </w:rPr>
              <w:t>l’apertura</w:t>
            </w:r>
            <w:r w:rsidR="007F31C1">
              <w:rPr>
                <w:rFonts w:ascii="Gill Sans MT" w:hAnsi="Gill Sans MT"/>
                <w:lang w:val="it-IT" w:eastAsia="it-IT"/>
              </w:rPr>
              <w:t xml:space="preserve"> delle buste</w:t>
            </w:r>
            <w:r w:rsidR="00A15BE3">
              <w:rPr>
                <w:rFonts w:ascii="Gill Sans MT" w:hAnsi="Gill Sans MT"/>
                <w:lang w:val="it-IT" w:eastAsia="it-IT"/>
              </w:rPr>
              <w:t xml:space="preserve"> al</w:t>
            </w:r>
            <w:r w:rsidR="00F706E1">
              <w:rPr>
                <w:rFonts w:ascii="Gill Sans MT" w:hAnsi="Gill Sans MT"/>
                <w:lang w:val="it-IT" w:eastAsia="it-IT"/>
              </w:rPr>
              <w:t>l’aggiudicazione della commessa</w:t>
            </w:r>
            <w:r w:rsidR="002A2D98" w:rsidRPr="000976C3">
              <w:rPr>
                <w:rFonts w:ascii="Gill Sans MT" w:hAnsi="Gill Sans MT"/>
                <w:lang w:val="it-IT" w:eastAsia="it-IT"/>
              </w:rPr>
              <w:t>.</w:t>
            </w:r>
            <w:r w:rsidR="001354B7" w:rsidRPr="000976C3">
              <w:rPr>
                <w:rFonts w:ascii="Gill Sans MT" w:eastAsiaTheme="majorEastAsia" w:hAnsi="Gill Sans MT" w:cs="Arial"/>
                <w:bCs/>
              </w:rPr>
              <w:t xml:space="preserve"> 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0976C3" w:rsidRPr="000976C3" w:rsidTr="003121B4">
        <w:tc>
          <w:tcPr>
            <w:tcW w:w="1526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252" w:type="dxa"/>
          </w:tcPr>
          <w:p w:rsidR="00AF475E" w:rsidRPr="00F735BB" w:rsidRDefault="008C13B7" w:rsidP="00F735BB">
            <w:pPr>
              <w:jc w:val="center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8938" w:dyaOrig="177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35pt;height:465.25pt" o:ole="">
                  <v:imagedata r:id="rId9" o:title=""/>
                </v:shape>
                <o:OLEObject Type="Embed" ProgID="Visio.Drawing.11" ShapeID="_x0000_i1025" DrawAspect="Content" ObjectID="_1654674169" r:id="rId10"/>
              </w:object>
            </w:r>
          </w:p>
        </w:tc>
      </w:tr>
    </w:tbl>
    <w:p w:rsidR="00355B03" w:rsidRPr="000976C3" w:rsidRDefault="00355B03" w:rsidP="00E341A8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16"/>
        <w:gridCol w:w="1280"/>
        <w:gridCol w:w="1706"/>
        <w:gridCol w:w="1333"/>
      </w:tblGrid>
      <w:tr w:rsidR="00ED11A8" w:rsidRPr="008613F2" w:rsidTr="00FC0C52">
        <w:trPr>
          <w:trHeight w:val="398"/>
          <w:tblHeader/>
        </w:trPr>
        <w:tc>
          <w:tcPr>
            <w:tcW w:w="551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613F2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613F2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613F2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  <w:r w:rsidR="00AF475E"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</w:p>
          <w:p w:rsidR="00ED11A8" w:rsidRPr="008613F2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613F2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8613F2" w:rsidTr="00FC0C52">
        <w:trPr>
          <w:trHeight w:val="123"/>
          <w:tblHeader/>
        </w:trPr>
        <w:tc>
          <w:tcPr>
            <w:tcW w:w="5516" w:type="dxa"/>
            <w:tcBorders>
              <w:top w:val="nil"/>
              <w:left w:val="nil"/>
              <w:right w:val="nil"/>
            </w:tcBorders>
          </w:tcPr>
          <w:p w:rsidR="00ED11A8" w:rsidRPr="008613F2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:rsidR="00ED11A8" w:rsidRPr="008613F2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ED11A8" w:rsidRPr="008613F2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</w:tcPr>
          <w:p w:rsidR="00ED11A8" w:rsidRPr="008613F2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9E7B1F" w:rsidRPr="00FF4488" w:rsidTr="00FC0C52">
        <w:trPr>
          <w:trHeight w:val="406"/>
        </w:trPr>
        <w:tc>
          <w:tcPr>
            <w:tcW w:w="5516" w:type="dxa"/>
          </w:tcPr>
          <w:p w:rsidR="009E7B1F" w:rsidRPr="008613F2" w:rsidRDefault="009E7B1F" w:rsidP="0081106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INIZIO</w:t>
            </w:r>
            <w:r w:rsidR="00FD3976"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– </w:t>
            </w:r>
            <w:r w:rsidR="00E70CCA" w:rsidRPr="008613F2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811067" w:rsidRPr="008613F2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Verbale di rientro delle offerte</w:t>
            </w:r>
          </w:p>
        </w:tc>
        <w:tc>
          <w:tcPr>
            <w:tcW w:w="1280" w:type="dxa"/>
          </w:tcPr>
          <w:p w:rsidR="009E7B1F" w:rsidRPr="008613F2" w:rsidRDefault="009E7B1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9E7B1F" w:rsidRPr="008613F2" w:rsidRDefault="009E7B1F" w:rsidP="00AF475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33" w:type="dxa"/>
          </w:tcPr>
          <w:p w:rsidR="009E7B1F" w:rsidRPr="008613F2" w:rsidRDefault="009E7B1F" w:rsidP="0041438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6D2286" w:rsidRPr="00FF4488" w:rsidTr="00FC0C52">
        <w:trPr>
          <w:trHeight w:val="1841"/>
        </w:trPr>
        <w:tc>
          <w:tcPr>
            <w:tcW w:w="5516" w:type="dxa"/>
          </w:tcPr>
          <w:p w:rsidR="006D2286" w:rsidRPr="008613F2" w:rsidRDefault="00BE7AE5" w:rsidP="006F351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613F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Apertura offerta</w:t>
            </w:r>
          </w:p>
          <w:p w:rsidR="006F351A" w:rsidRPr="00297B1B" w:rsidRDefault="00507264" w:rsidP="0050726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7030A0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L’apertura delle offerte avviene </w:t>
            </w:r>
            <w:r w:rsidR="006F351A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in seduta pubblica conformemente all’avviso di 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gara.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Importante verbalizzare le eventuali irregolarità già manifestatesi al momento dell’apertura</w:t>
            </w:r>
            <w:r w:rsidR="00DF6FC9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280" w:type="dxa"/>
          </w:tcPr>
          <w:p w:rsidR="006D2286" w:rsidRPr="008613F2" w:rsidRDefault="006D2286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6E0678" w:rsidRPr="00B83236" w:rsidRDefault="00D6091F" w:rsidP="006E067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31 </w:t>
            </w:r>
            <w:proofErr w:type="spellStart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  <w:r w:rsidR="006E0678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6D2286" w:rsidRPr="00B83236" w:rsidRDefault="006E0678" w:rsidP="006E067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</w:t>
            </w:r>
            <w:r w:rsidR="002A5446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="00D2003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40,</w:t>
            </w:r>
            <w:r w:rsidR="00D2003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45</w:t>
            </w:r>
            <w:r w:rsidR="003B4BD0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46</w:t>
            </w:r>
            <w:r w:rsidR="00D2003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D2003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="00D2003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33" w:type="dxa"/>
          </w:tcPr>
          <w:p w:rsidR="000D47AF" w:rsidRPr="008613F2" w:rsidRDefault="008E2D1F" w:rsidP="000D47AF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  <w:r>
              <w:rPr>
                <w:rFonts w:ascii="Gill Sans MT" w:hAnsi="Gill Sans MT"/>
                <w:sz w:val="18"/>
                <w:szCs w:val="18"/>
                <w:lang w:val="it-CH"/>
              </w:rPr>
              <w:t>Scheda informativa:</w:t>
            </w:r>
            <w:r w:rsidR="000D47AF" w:rsidRPr="008613F2">
              <w:rPr>
                <w:rFonts w:ascii="Gill Sans MT" w:hAnsi="Gill Sans MT"/>
                <w:sz w:val="18"/>
                <w:szCs w:val="18"/>
                <w:lang w:val="it-CH"/>
              </w:rPr>
              <w:t xml:space="preserve"> </w:t>
            </w:r>
            <w:hyperlink r:id="rId11" w:history="1">
              <w:r w:rsidR="000D47AF" w:rsidRPr="008613F2">
                <w:rPr>
                  <w:rStyle w:val="Collegamentoipertestuale"/>
                  <w:rFonts w:ascii="Gill Sans MT" w:hAnsi="Gill Sans MT"/>
                  <w:sz w:val="18"/>
                  <w:szCs w:val="18"/>
                  <w:lang w:val="it-CH"/>
                </w:rPr>
                <w:t>“Apertura delle offerte”</w:t>
              </w:r>
            </w:hyperlink>
          </w:p>
          <w:p w:rsidR="0086018F" w:rsidRPr="008613F2" w:rsidRDefault="0086018F" w:rsidP="000D47AF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  <w:p w:rsidR="000D47AF" w:rsidRPr="008613F2" w:rsidRDefault="000D47AF" w:rsidP="000D47AF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  <w:r w:rsidRPr="008613F2">
              <w:rPr>
                <w:rFonts w:ascii="Gill Sans MT" w:hAnsi="Gill Sans MT"/>
                <w:sz w:val="18"/>
                <w:szCs w:val="18"/>
                <w:lang w:val="it-CH"/>
              </w:rPr>
              <w:t>Modello e Formulario</w:t>
            </w:r>
          </w:p>
          <w:p w:rsidR="006D2286" w:rsidRPr="008613F2" w:rsidRDefault="00FF4488" w:rsidP="000D47A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hyperlink r:id="rId12" w:history="1">
              <w:r w:rsidR="000D47AF" w:rsidRPr="008613F2">
                <w:rPr>
                  <w:rStyle w:val="Collegamentoipertestuale"/>
                  <w:rFonts w:ascii="Gill Sans MT" w:hAnsi="Gill Sans MT"/>
                  <w:sz w:val="18"/>
                  <w:szCs w:val="18"/>
                  <w:lang w:val="it-CH"/>
                </w:rPr>
                <w:t>“Verbale di apertura delle offerte”</w:t>
              </w:r>
            </w:hyperlink>
          </w:p>
        </w:tc>
      </w:tr>
      <w:tr w:rsidR="00F744CC" w:rsidRPr="00AC77C8" w:rsidTr="00FC0C52">
        <w:trPr>
          <w:trHeight w:val="412"/>
        </w:trPr>
        <w:tc>
          <w:tcPr>
            <w:tcW w:w="5516" w:type="dxa"/>
          </w:tcPr>
          <w:p w:rsidR="00F744CC" w:rsidRPr="00B83236" w:rsidRDefault="00F744CC" w:rsidP="006F351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formale offerta</w:t>
            </w:r>
          </w:p>
          <w:p w:rsidR="00F744CC" w:rsidRDefault="00F744CC" w:rsidP="00F744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Verifica </w:t>
            </w:r>
            <w:r w:rsidR="0088491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completezza e </w:t>
            </w:r>
            <w:r w:rsidR="0088491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corretta compilazione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della documentazione.</w:t>
            </w:r>
          </w:p>
          <w:p w:rsidR="006A67EB" w:rsidRPr="00B83236" w:rsidRDefault="006A67EB" w:rsidP="00F744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A67EB">
              <w:rPr>
                <w:rFonts w:ascii="Gill Sans MT" w:eastAsia="Times New Roman" w:hAnsi="Gill Sans MT" w:cs="Arial"/>
                <w:sz w:val="18"/>
                <w:szCs w:val="16"/>
                <w:u w:val="single"/>
                <w:lang w:val="it-IT" w:eastAsia="it-IT"/>
              </w:rPr>
              <w:t>Nota 1</w:t>
            </w:r>
            <w:r w:rsidRPr="006A67EB">
              <w:rPr>
                <w:rFonts w:ascii="Gill Sans MT" w:eastAsia="Times New Roman" w:hAnsi="Gill Sans MT" w:cs="Arial"/>
                <w:sz w:val="18"/>
                <w:szCs w:val="16"/>
                <w:lang w:val="it-IT" w:eastAsia="it-IT"/>
              </w:rPr>
              <w:t>: Sono escluse in particolare le offerte giunte in busta aperta, prive del contrassegno o della dicitura esterna prescritta, non indirizzate al recapito indicato, giunte dopo il termine di scadenza, mancanti dei prezzi unitari o dei prezzi a corpo, sprovviste delle firme o dei documenti necessari o richiesti, incomplete oppure che contengono proposte di sconto non prescritte dalla documentazione di gara.</w:t>
            </w:r>
          </w:p>
        </w:tc>
        <w:tc>
          <w:tcPr>
            <w:tcW w:w="1280" w:type="dxa"/>
          </w:tcPr>
          <w:p w:rsidR="00F744CC" w:rsidRPr="008613F2" w:rsidRDefault="00F744CC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F744CC" w:rsidRPr="00B83236" w:rsidRDefault="002A5446" w:rsidP="00AF475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rt. 26 </w:t>
            </w:r>
            <w:proofErr w:type="spellStart"/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B851A4" w:rsidRDefault="002A5446" w:rsidP="00AF475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rt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DA4D40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39, </w:t>
            </w:r>
            <w:r w:rsidR="006E0678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39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6E0678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40,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42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43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  <w:p w:rsidR="00FF4488" w:rsidRDefault="00FF4488" w:rsidP="00AF475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Condizioni particolari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per la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 verifica dei requisiti di idoneità sono previsti dal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“</w:t>
            </w: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Decreto esecutivo</w:t>
            </w: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concernente la modifica delle procedure in materia di commesse pubbliche</w:t>
            </w: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in tempo di emergenza epidemiologica da COVID-19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”</w:t>
            </w:r>
          </w:p>
          <w:p w:rsidR="00FF4488" w:rsidRPr="00B83236" w:rsidRDefault="00FF4488" w:rsidP="00FF448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(del 15 aprile 2020)</w:t>
            </w:r>
          </w:p>
        </w:tc>
        <w:tc>
          <w:tcPr>
            <w:tcW w:w="1333" w:type="dxa"/>
          </w:tcPr>
          <w:p w:rsidR="00F744CC" w:rsidRPr="008613F2" w:rsidRDefault="00F744CC" w:rsidP="0041438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B851A4" w:rsidRPr="008613F2" w:rsidTr="00FC0C52">
        <w:trPr>
          <w:trHeight w:val="464"/>
        </w:trPr>
        <w:tc>
          <w:tcPr>
            <w:tcW w:w="5516" w:type="dxa"/>
          </w:tcPr>
          <w:p w:rsidR="00B851A4" w:rsidRPr="00B83236" w:rsidRDefault="00B851A4" w:rsidP="006F351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aritmetica</w:t>
            </w:r>
          </w:p>
          <w:p w:rsidR="00B851A4" w:rsidRPr="00B83236" w:rsidRDefault="00B851A4" w:rsidP="00F744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Controllo/rettifica di eventuali errori aritmetici.</w:t>
            </w:r>
          </w:p>
          <w:p w:rsidR="002A5446" w:rsidRPr="00B83236" w:rsidRDefault="002A5446" w:rsidP="00297B1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tali errori non sono motivo d’esclusione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dell’offerente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ma devono essere 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registrati in un verbale (rapporto tecnico).</w:t>
            </w:r>
          </w:p>
        </w:tc>
        <w:tc>
          <w:tcPr>
            <w:tcW w:w="1280" w:type="dxa"/>
          </w:tcPr>
          <w:p w:rsidR="00B851A4" w:rsidRPr="008613F2" w:rsidRDefault="00B851A4" w:rsidP="00BA727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6E0678" w:rsidRPr="00B83236" w:rsidRDefault="002A5446" w:rsidP="006E067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a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rt. 26 </w:t>
            </w:r>
            <w:proofErr w:type="spellStart"/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LCPubb</w:t>
            </w:r>
            <w:proofErr w:type="spellEnd"/>
            <w:r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;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 </w:t>
            </w:r>
          </w:p>
          <w:p w:rsidR="00B851A4" w:rsidRPr="00B83236" w:rsidRDefault="002A5446" w:rsidP="006E067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a</w:t>
            </w:r>
            <w:r w:rsidR="006E0678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r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t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. 42</w:t>
            </w:r>
            <w:r w:rsidR="006E0678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F825AC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R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LCPubb</w:t>
            </w:r>
            <w:proofErr w:type="spellEnd"/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/CIAP</w:t>
            </w:r>
          </w:p>
        </w:tc>
        <w:tc>
          <w:tcPr>
            <w:tcW w:w="1333" w:type="dxa"/>
          </w:tcPr>
          <w:p w:rsidR="00B851A4" w:rsidRPr="008613F2" w:rsidRDefault="00B851A4" w:rsidP="00ED4B4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B851A4" w:rsidRPr="00FF4488" w:rsidTr="00FC0C52">
        <w:trPr>
          <w:trHeight w:val="2894"/>
        </w:trPr>
        <w:tc>
          <w:tcPr>
            <w:tcW w:w="5516" w:type="dxa"/>
          </w:tcPr>
          <w:p w:rsidR="00B851A4" w:rsidRPr="00B83236" w:rsidRDefault="00B851A4" w:rsidP="006F351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Verifica dell’idoneità</w:t>
            </w:r>
          </w:p>
          <w:p w:rsidR="00B851A4" w:rsidRPr="00B83236" w:rsidRDefault="00B851A4" w:rsidP="00FD397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Verifica i criteri d'idoneità: </w:t>
            </w:r>
          </w:p>
          <w:p w:rsidR="00B817D1" w:rsidRPr="00B817D1" w:rsidRDefault="0080703C" w:rsidP="00B817D1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arattere generale: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B851A4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verifica dei criteri che qualsiasi concorrente deve soddisfare indipendentemente dalla natura della commessa o dal tipo di procedura adottata. Rientrano in questa categoria i 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seguenti criteri fissati dalla legge:</w:t>
            </w:r>
          </w:p>
          <w:p w:rsidR="00B817D1" w:rsidRDefault="00660043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domicilio in Svizzera</w:t>
            </w:r>
            <w:r w:rsidR="00560E9B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(solo per commesse non sottoposte a trattati internazionali)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B817D1" w:rsidRDefault="00B851A4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pagamento degl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oneri sociali,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delle imposte;</w:t>
            </w: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B817D1" w:rsidRDefault="00FC0C52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garanzia</w:t>
            </w:r>
            <w:r w:rsidR="00B851A4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del</w:t>
            </w:r>
            <w:r w:rsidR="00B851A4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l’adempimento degli obblig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hi verso le istituzioni sociali;</w:t>
            </w:r>
            <w:r w:rsidR="00B851A4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B817D1" w:rsidRDefault="00B851A4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adempimento del pagamento delle imposte</w:t>
            </w:r>
            <w:r w:rsidR="001236D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cantonali, comunali, federali e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dell’IVA;</w:t>
            </w: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 riversamento delle impo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ste alla fonte;</w:t>
            </w:r>
          </w:p>
          <w:p w:rsidR="00B817D1" w:rsidRDefault="00B851A4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rispetto delle disposizioni in materia di protezione dei lavoratori e dei contratti collettivi di lavoro vigenti nei cantoni per categoria di arti e mestieri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  <w:r w:rsidR="00560E9B"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B851A4" w:rsidRPr="00B817D1" w:rsidRDefault="00560E9B" w:rsidP="00B817D1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l’autocertificazione del rispetto della parità di trattamento tra uomo e donna</w:t>
            </w:r>
            <w:r w:rsidR="00B817D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B851A4" w:rsidRPr="00B83236" w:rsidRDefault="0080703C" w:rsidP="00CC2BC0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B851A4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arattere particolare: verifica delle condizioni di partecipazione, fissate dalla legge stessa per certi tipi di commessa o dal committente mediante il capitolato in funzione di sue specifiche esigenze. </w:t>
            </w:r>
          </w:p>
          <w:p w:rsidR="00B851A4" w:rsidRPr="00B83236" w:rsidRDefault="00B851A4" w:rsidP="008E29C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I criteri d’idoneità devono essere definiti 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preventivamente 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dalla documentazione di gara.</w:t>
            </w:r>
          </w:p>
        </w:tc>
        <w:tc>
          <w:tcPr>
            <w:tcW w:w="1280" w:type="dxa"/>
          </w:tcPr>
          <w:p w:rsidR="00B851A4" w:rsidRPr="008613F2" w:rsidRDefault="00B851A4" w:rsidP="00BA727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114076" w:rsidRPr="00B83236" w:rsidRDefault="00B851A4" w:rsidP="00AF475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artt.  </w:t>
            </w:r>
            <w:r w:rsidR="002A5446"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5,</w:t>
            </w:r>
            <w:r w:rsidR="00660043"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19,</w:t>
            </w:r>
            <w:r w:rsidR="002A5446"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</w:t>
            </w: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20, 21 e 22 </w:t>
            </w:r>
            <w:proofErr w:type="spellStart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LCPubb</w:t>
            </w:r>
            <w:proofErr w:type="spellEnd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; </w:t>
            </w:r>
          </w:p>
          <w:p w:rsidR="00B851A4" w:rsidRDefault="00B851A4" w:rsidP="00660043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34</w:t>
            </w:r>
            <w:r w:rsidR="002A5446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-</w:t>
            </w:r>
            <w:r w:rsidR="00114076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</w:t>
            </w:r>
            <w:r w:rsidR="00660043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7, 39, 39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a, </w:t>
            </w:r>
            <w:r w:rsidR="003B4BD0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40, 43, 44, 54 e</w:t>
            </w:r>
            <w:r w:rsidR="00297B1B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55</w:t>
            </w:r>
            <w:r w:rsidR="002A5446"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B83236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  <w:p w:rsidR="00FF4488" w:rsidRDefault="00FF4488" w:rsidP="00660043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Condizioni particolari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per la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 verifica dei requisiti di idoneità sono previsti dal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“</w:t>
            </w: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Decreto esecutivo</w:t>
            </w: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concernente la modifica delle procedure in materia di commesse pubbliche</w:t>
            </w:r>
          </w:p>
          <w:p w:rsidR="00FF4488" w:rsidRPr="00733DCD" w:rsidRDefault="00FF4488" w:rsidP="00FF448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in tempo di emergenza epidemiologica da COVID-19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”</w:t>
            </w:r>
          </w:p>
          <w:p w:rsidR="00FF4488" w:rsidRPr="00B83236" w:rsidRDefault="00FF4488" w:rsidP="00FF4488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(del 15 aprile 2020)</w:t>
            </w:r>
            <w:bookmarkStart w:id="0" w:name="_GoBack"/>
            <w:bookmarkEnd w:id="0"/>
          </w:p>
        </w:tc>
        <w:tc>
          <w:tcPr>
            <w:tcW w:w="1333" w:type="dxa"/>
          </w:tcPr>
          <w:p w:rsidR="008E2D1F" w:rsidRPr="00F825AC" w:rsidRDefault="008E2D1F" w:rsidP="00F825A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Modello e formulario:</w:t>
            </w:r>
          </w:p>
          <w:p w:rsidR="008E2D1F" w:rsidRPr="00A06E5D" w:rsidRDefault="008E2D1F" w:rsidP="008E2D1F">
            <w:pPr>
              <w:pStyle w:val="Paragrafoelenco"/>
              <w:spacing w:after="0" w:line="240" w:lineRule="auto"/>
              <w:ind w:left="29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fldChar w:fldCharType="begin"/>
            </w:r>
            <w:r w:rsidRPr="006A67EB">
              <w:rPr>
                <w:lang w:val="it-CH"/>
              </w:rPr>
              <w:instrText xml:space="preserve"> HYPERLINK "https://www4.ti.ch/dt/sg/uvcp/temi/vigilanza-e-commesse-pubbliche/commesse-pubbliche-2020/schede-informative/verifica-delle-offerte/" </w:instrText>
            </w:r>
            <w:r>
              <w:fldChar w:fldCharType="separate"/>
            </w:r>
            <w:r w:rsidRPr="006A67EB">
              <w:rPr>
                <w:rStyle w:val="Collegamentoipertestuale"/>
                <w:lang w:val="it-CH"/>
              </w:rPr>
              <w:t>“</w:t>
            </w:r>
            <w:r w:rsidRPr="00A06E5D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Dichiarazioni</w:t>
            </w:r>
            <w:r w:rsidR="008A229B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autocertificazioni</w:t>
            </w:r>
            <w:r w:rsidRPr="00A06E5D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dell’offerente”</w:t>
            </w:r>
          </w:p>
          <w:p w:rsidR="008E2D1F" w:rsidRDefault="008E2D1F" w:rsidP="008E2D1F">
            <w:pPr>
              <w:pStyle w:val="Paragrafoelenco"/>
              <w:spacing w:after="0" w:line="240" w:lineRule="auto"/>
              <w:ind w:left="29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fldChar w:fldCharType="end"/>
            </w:r>
          </w:p>
          <w:p w:rsidR="000D47AF" w:rsidRPr="008613F2" w:rsidRDefault="008E2D1F" w:rsidP="008E2D1F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Style w:val="Collegamentoipertestuale"/>
                <w:rFonts w:ascii="Gill Sans MT" w:eastAsia="Times New Roman" w:hAnsi="Gill Sans MT" w:cs="Arial"/>
                <w:color w:val="auto"/>
                <w:sz w:val="18"/>
                <w:szCs w:val="18"/>
                <w:u w:val="none"/>
                <w:lang w:val="it-IT" w:eastAsia="it-IT"/>
              </w:rPr>
              <w:t>Formulario:</w:t>
            </w:r>
            <w:r w:rsidRPr="00A06E5D">
              <w:rPr>
                <w:rStyle w:val="Collegamentoipertestuale"/>
                <w:rFonts w:ascii="Gill Sans MT" w:eastAsia="Times New Roman" w:hAnsi="Gill Sans MT" w:cs="Arial"/>
                <w:color w:val="auto"/>
                <w:sz w:val="18"/>
                <w:szCs w:val="18"/>
                <w:u w:val="none"/>
                <w:lang w:val="it-IT" w:eastAsia="it-IT"/>
              </w:rPr>
              <w:t xml:space="preserve"> </w:t>
            </w:r>
            <w:hyperlink r:id="rId13" w:history="1">
              <w:r w:rsidRPr="00A06E5D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“Lettera </w:t>
              </w:r>
              <w:r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richiesta documenti</w:t>
              </w:r>
              <w:r w:rsidRPr="00A06E5D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 mancanti”</w:t>
              </w:r>
            </w:hyperlink>
          </w:p>
          <w:p w:rsidR="00B851A4" w:rsidRPr="008613F2" w:rsidRDefault="00B851A4" w:rsidP="000D47AF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B851A4" w:rsidRPr="00FF4488" w:rsidTr="00FC0C52">
        <w:trPr>
          <w:trHeight w:val="1464"/>
        </w:trPr>
        <w:tc>
          <w:tcPr>
            <w:tcW w:w="5516" w:type="dxa"/>
          </w:tcPr>
          <w:p w:rsidR="00B851A4" w:rsidRPr="00FB40C7" w:rsidRDefault="00B851A4" w:rsidP="006F351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tecnica</w:t>
            </w:r>
          </w:p>
          <w:p w:rsidR="00B851A4" w:rsidRPr="00FB40C7" w:rsidRDefault="00B851A4" w:rsidP="00F744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Verifica dei prodotti </w:t>
            </w:r>
            <w:r w:rsidR="002A5446"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e/o materiali </w:t>
            </w: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offerti e loro equivalenza.</w:t>
            </w:r>
            <w:r w:rsidRPr="00FB40C7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 xml:space="preserve"> </w:t>
            </w:r>
          </w:p>
          <w:p w:rsidR="00B851A4" w:rsidRPr="00FB40C7" w:rsidRDefault="00B851A4" w:rsidP="00F744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la verifica tecnica (ed economica) delle offerte deve essere eseguita da professionisti attivi nel settore della commessa da aggiudicare (interni o esterni).</w:t>
            </w:r>
          </w:p>
        </w:tc>
        <w:tc>
          <w:tcPr>
            <w:tcW w:w="1280" w:type="dxa"/>
          </w:tcPr>
          <w:p w:rsidR="00B851A4" w:rsidRPr="00FB40C7" w:rsidRDefault="00B851A4" w:rsidP="00BA727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B851A4" w:rsidRPr="00FB40C7" w:rsidRDefault="002A5446" w:rsidP="00660043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a</w:t>
            </w:r>
            <w:r w:rsidR="00660043"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r</w:t>
            </w:r>
            <w:r w:rsidR="00560E9B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t</w:t>
            </w:r>
            <w:r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t</w:t>
            </w:r>
            <w:r w:rsidR="00114076"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 xml:space="preserve">. </w:t>
            </w:r>
            <w:r w:rsidR="00560E9B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 xml:space="preserve">40 cpv. 5 e </w:t>
            </w:r>
            <w:r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 xml:space="preserve">43 </w:t>
            </w:r>
            <w:proofErr w:type="spellStart"/>
            <w:r w:rsidR="00114076"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RLCPubb</w:t>
            </w:r>
            <w:proofErr w:type="spellEnd"/>
            <w:r w:rsidR="00114076"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33" w:type="dxa"/>
          </w:tcPr>
          <w:p w:rsidR="00B851A4" w:rsidRPr="00FB40C7" w:rsidRDefault="00B851A4" w:rsidP="00D517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</w:pPr>
          </w:p>
        </w:tc>
      </w:tr>
      <w:tr w:rsidR="00114076" w:rsidRPr="00FB40C7" w:rsidTr="00FC0C52">
        <w:trPr>
          <w:trHeight w:val="2730"/>
        </w:trPr>
        <w:tc>
          <w:tcPr>
            <w:tcW w:w="5516" w:type="dxa"/>
          </w:tcPr>
          <w:p w:rsidR="00114076" w:rsidRPr="00FB40C7" w:rsidRDefault="00D37931" w:rsidP="009E7B1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Valutazione delle offerte secondo </w:t>
            </w:r>
            <w:r w:rsidR="002A5446" w:rsidRPr="00FB40C7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i </w:t>
            </w:r>
            <w:r w:rsidR="00114076" w:rsidRPr="00FB40C7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criteri di aggiudicazione</w:t>
            </w:r>
          </w:p>
          <w:p w:rsidR="00114076" w:rsidRPr="00FB40C7" w:rsidRDefault="00BA7275" w:rsidP="00FD397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Gli offerenti, che adempiono i </w:t>
            </w:r>
            <w:r w:rsidR="00114076"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criteri d’idoneità e la cui offerta risulta formalmente e tecnicamente valida, 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</w:t>
            </w:r>
            <w:r w:rsidR="00114076"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poi valutati secondo i criteri di aggiudicazione. </w:t>
            </w:r>
          </w:p>
          <w:p w:rsidR="00114076" w:rsidRPr="00FB40C7" w:rsidRDefault="00114076" w:rsidP="00CC2BC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deve valutare le offerte unicamente sulla base delle informazioni richieste dal bando e fornite dai concorrenti.</w:t>
            </w:r>
          </w:p>
          <w:p w:rsidR="00114076" w:rsidRDefault="00114076" w:rsidP="00CC2BC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Il miglior offerente è colui che ottiene il punteggio maggiore e si aggiudica quindi la commessa. </w:t>
            </w:r>
          </w:p>
          <w:p w:rsidR="00FC0C52" w:rsidRPr="00FB40C7" w:rsidRDefault="00FC0C52" w:rsidP="00CC2BC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95DBB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 II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ha il diritto di chiedere all’offerente delle analisi di determinati elementi dell’offerta assegnandogli un termine perentorio. Se l’offerente non le presenta o le presenta in modo inadeguato, il committente può anche escludere l’offerta.</w:t>
            </w:r>
          </w:p>
        </w:tc>
        <w:tc>
          <w:tcPr>
            <w:tcW w:w="1280" w:type="dxa"/>
          </w:tcPr>
          <w:p w:rsidR="00114076" w:rsidRPr="00FB40C7" w:rsidRDefault="00114076" w:rsidP="00BA727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660043" w:rsidRPr="00FF4488" w:rsidRDefault="00114076" w:rsidP="00F05F19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 xml:space="preserve">art. 32 </w:t>
            </w:r>
            <w:proofErr w:type="spellStart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>LCPubb</w:t>
            </w:r>
            <w:proofErr w:type="spellEnd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>;</w:t>
            </w:r>
            <w:r w:rsidRPr="00FF4488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 </w:t>
            </w:r>
          </w:p>
          <w:p w:rsidR="00114076" w:rsidRPr="00FF4488" w:rsidRDefault="00114076" w:rsidP="00F05F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>art</w:t>
            </w:r>
            <w:r w:rsidR="00FC0C52"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>t</w:t>
            </w:r>
            <w:proofErr w:type="spellEnd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="00FC0C52"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 xml:space="preserve">43, </w:t>
            </w:r>
            <w:r w:rsidRPr="00FF4488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53 </w:t>
            </w:r>
            <w:proofErr w:type="spellStart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>RLCPubb</w:t>
            </w:r>
            <w:proofErr w:type="spellEnd"/>
            <w:r w:rsidRPr="00FF4488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eastAsia="it-IT"/>
              </w:rPr>
              <w:t xml:space="preserve">/CIAP </w:t>
            </w:r>
          </w:p>
        </w:tc>
        <w:tc>
          <w:tcPr>
            <w:tcW w:w="1333" w:type="dxa"/>
          </w:tcPr>
          <w:p w:rsidR="00114076" w:rsidRPr="00FF4488" w:rsidRDefault="00114076" w:rsidP="00ED4B4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86018F" w:rsidRPr="00FF4488" w:rsidTr="00FC0C52">
        <w:trPr>
          <w:trHeight w:val="771"/>
        </w:trPr>
        <w:tc>
          <w:tcPr>
            <w:tcW w:w="5516" w:type="dxa"/>
          </w:tcPr>
          <w:p w:rsidR="0086018F" w:rsidRPr="00FB40C7" w:rsidRDefault="0086018F" w:rsidP="009E7B1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Rapporto di aggiudicazione</w:t>
            </w:r>
          </w:p>
          <w:p w:rsidR="0086018F" w:rsidRPr="00FB40C7" w:rsidRDefault="0086018F" w:rsidP="0088491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Riporta tutte le verifiche riassunte (</w:t>
            </w:r>
            <w:proofErr w:type="spellStart"/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pti</w:t>
            </w:r>
            <w:proofErr w:type="spellEnd"/>
            <w:r w:rsidRPr="00FB40C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2-6)</w:t>
            </w:r>
          </w:p>
        </w:tc>
        <w:tc>
          <w:tcPr>
            <w:tcW w:w="1280" w:type="dxa"/>
          </w:tcPr>
          <w:p w:rsidR="0086018F" w:rsidRPr="00FB40C7" w:rsidRDefault="0086018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86018F" w:rsidRDefault="0086018F" w:rsidP="00114076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 xml:space="preserve">art. 32 </w:t>
            </w:r>
            <w:proofErr w:type="spellStart"/>
            <w:r w:rsidRPr="00FB40C7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LCPubb</w:t>
            </w:r>
            <w:proofErr w:type="spellEnd"/>
            <w:r w:rsidR="00560E9B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;</w:t>
            </w:r>
          </w:p>
          <w:p w:rsidR="00560E9B" w:rsidRPr="00FB40C7" w:rsidRDefault="00560E9B" w:rsidP="00114076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 xml:space="preserve">art. 54 </w:t>
            </w:r>
            <w:proofErr w:type="spellStart"/>
            <w:r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RLCPubb</w:t>
            </w:r>
            <w:proofErr w:type="spellEnd"/>
            <w:r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/CIAP</w:t>
            </w:r>
          </w:p>
          <w:p w:rsidR="0086018F" w:rsidRPr="00FB40C7" w:rsidRDefault="0086018F" w:rsidP="00114076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33" w:type="dxa"/>
          </w:tcPr>
          <w:p w:rsidR="00D51708" w:rsidRPr="00D51708" w:rsidRDefault="00D51708" w:rsidP="00D5170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D5170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Modello e</w:t>
            </w:r>
          </w:p>
          <w:p w:rsidR="00D51708" w:rsidRPr="00D51708" w:rsidRDefault="00D51708" w:rsidP="00D5170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D5170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formulario:</w:t>
            </w:r>
          </w:p>
          <w:p w:rsidR="0086018F" w:rsidRPr="00D51708" w:rsidRDefault="00FF4488" w:rsidP="00D5170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4" w:history="1">
              <w:r w:rsidR="00D51708" w:rsidRPr="00A75EC5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“Rapporto di aggiudicazion</w:t>
              </w:r>
              <w:r w:rsidR="00D51708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e</w:t>
              </w:r>
              <w:r w:rsidR="00D51708" w:rsidRPr="00A75EC5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”</w:t>
              </w:r>
            </w:hyperlink>
          </w:p>
        </w:tc>
      </w:tr>
      <w:tr w:rsidR="0086018F" w:rsidRPr="00FF4488" w:rsidTr="004C2B3A">
        <w:trPr>
          <w:trHeight w:val="2619"/>
        </w:trPr>
        <w:tc>
          <w:tcPr>
            <w:tcW w:w="5516" w:type="dxa"/>
          </w:tcPr>
          <w:p w:rsidR="0086018F" w:rsidRPr="00FC0C52" w:rsidRDefault="0086018F" w:rsidP="003157E2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Decisione di aggiudicazione, di esclusione o di annullamento</w:t>
            </w:r>
            <w:r w:rsidR="007E37AB" w:rsidRPr="00FC0C5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della gara di appalto</w:t>
            </w:r>
          </w:p>
          <w:p w:rsidR="0086018F" w:rsidRPr="00FC0C52" w:rsidRDefault="0086018F" w:rsidP="00F0605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Decisione di aggiudicazione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Essa ha lo scopo di comunicare ai concorrenti i motivi che hanno condotto all’esclusione di determinati offerenti o offerte, i criteri di aggiudicazione adottati e i rimedi di diritto, con l’avvertenza che il ricorso non ha, per principio, effetto sospensivo.</w:t>
            </w:r>
          </w:p>
          <w:p w:rsidR="0086018F" w:rsidRPr="00FC0C52" w:rsidRDefault="0086018F" w:rsidP="00D609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</w:pPr>
          </w:p>
          <w:p w:rsidR="00AC77C8" w:rsidRPr="00FC0C52" w:rsidRDefault="0086018F" w:rsidP="00D609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Decisione di esclusione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. Motivi di esclusione: </w:t>
            </w:r>
          </w:p>
          <w:p w:rsidR="00AC77C8" w:rsidRPr="00FC0C52" w:rsidRDefault="00AC77C8" w:rsidP="00D609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Relativi al concorrente:</w:t>
            </w:r>
          </w:p>
          <w:p w:rsidR="0086018F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non adempie i criteri di idoneità;</w:t>
            </w:r>
          </w:p>
          <w:p w:rsidR="00AC77C8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ha dato al committente indicazioni false;</w:t>
            </w:r>
          </w:p>
          <w:p w:rsidR="00AC77C8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non rispetta princ</w:t>
            </w:r>
            <w:r w:rsidR="00FB40C7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ipi sanciti dall’art. 5 </w:t>
            </w:r>
            <w:proofErr w:type="spellStart"/>
            <w:r w:rsidR="00FB40C7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lett</w:t>
            </w:r>
            <w:proofErr w:type="spellEnd"/>
            <w:r w:rsidR="00FB40C7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a e b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AC77C8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ha comportamenti tali da impedire un’effettiva e libera concorrenza o da ostacolarla in modo rilevante;</w:t>
            </w:r>
          </w:p>
          <w:p w:rsidR="00AC77C8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è soggetto a procedura di concordato o fallimento;</w:t>
            </w:r>
          </w:p>
          <w:p w:rsidR="00AC77C8" w:rsidRPr="00FC0C52" w:rsidRDefault="00E97C6F" w:rsidP="00D6091F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ha i medesimi titolari di offerenti che non adempiono ai principi dell’art. 5 o è controllato dalle stesse persone;</w:t>
            </w:r>
          </w:p>
          <w:p w:rsidR="00A45EA5" w:rsidRPr="00FC0C52" w:rsidRDefault="00E97C6F" w:rsidP="00560E9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oncorrente ha i medesimi titolari o è controllato dalle stesse persone riferibili a offerenti già esclusi per sanzione</w:t>
            </w:r>
            <w:r w:rsidR="00DF6FC9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AC77C8" w:rsidRPr="00FC0C52" w:rsidRDefault="00AC77C8" w:rsidP="00AC77C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Relativi all’offerta: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fferte giunte in busta aperta;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fferte prive del contrassegno o della dicitura esterna prescritta; 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fferte non indirizzate al recapito indicato;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fferte giunte dopo il termine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di scadenza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indicato; 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fferte mancanti di prezzi unitari o di prezzi a corpo; 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fferte sprovviste delle firme o  dei documenti necessari o richiesti; 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fferte incomplete;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fferte che contengono proposte di sconto non prescritte  dalla documentazione di gara; </w:t>
            </w:r>
          </w:p>
          <w:p w:rsidR="0086018F" w:rsidRPr="00FC0C52" w:rsidRDefault="00E97C6F" w:rsidP="00AC77C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fferte che presentano errori, correzioni o raschiamenti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dei prezzi unitari o dei prezzi a corpo (globali)</w:t>
            </w:r>
            <w:r w:rsidR="0086018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non fanno uso del foglio di correzione.</w:t>
            </w:r>
          </w:p>
          <w:p w:rsidR="0086018F" w:rsidRPr="00FC0C52" w:rsidRDefault="0086018F" w:rsidP="003B1C9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</w:pPr>
          </w:p>
          <w:p w:rsidR="0086018F" w:rsidRPr="00FC0C52" w:rsidRDefault="0086018F" w:rsidP="003B1C9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Decisione di annullamento/interruzione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In presenza di motivi sufficienti, il committente non è tenuto ad aggiudicare la commessa sulla base delle offerte ricevute. Esso può dunque indire una nuova gara e rinunciare totalmente o parzialmente alle prestazioni, quando:</w:t>
            </w:r>
          </w:p>
          <w:p w:rsidR="0086018F" w:rsidRPr="00FC0C52" w:rsidRDefault="0086018F" w:rsidP="003B1C96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lastRenderedPageBreak/>
              <w:t>non realizza il progetto;</w:t>
            </w:r>
          </w:p>
          <w:p w:rsidR="0086018F" w:rsidRPr="00FC0C52" w:rsidRDefault="0086018F" w:rsidP="003B1C96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nessuna offerta adempie i criteri tecnici e le altre esigenze fissati nei documenti di gara; </w:t>
            </w:r>
          </w:p>
          <w:p w:rsidR="0086018F" w:rsidRPr="00FC0C52" w:rsidRDefault="0086018F" w:rsidP="003B1C96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si prevedono offerte più favorevoli a seguito della modifica  delle condizioni</w:t>
            </w:r>
            <w:r w:rsidR="00A45EA5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quadro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; </w:t>
            </w:r>
          </w:p>
          <w:p w:rsidR="0086018F" w:rsidRPr="00FC0C52" w:rsidRDefault="0086018F" w:rsidP="003B1C96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offerte presentate non sono economicamente sostenibili oppure superano il preventivo di riferimento annunciato nel bando o</w:t>
            </w:r>
            <w:r w:rsidR="000561B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per gli enti pubblici,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 crediti alloca</w:t>
            </w:r>
            <w:r w:rsidR="000561BF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i;</w:t>
            </w:r>
          </w:p>
          <w:p w:rsidR="0086018F" w:rsidRPr="00FC0C52" w:rsidRDefault="0086018F" w:rsidP="003B1C96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esistono indizi sufficienti di accordi in materia di concorrenza tra gli offerenti;</w:t>
            </w:r>
          </w:p>
          <w:p w:rsidR="00560E9B" w:rsidRPr="00FC0C52" w:rsidRDefault="0086018F" w:rsidP="00560E9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si rende necessaria una modifica sostanziale delle prestazioni richieste.</w:t>
            </w:r>
          </w:p>
          <w:p w:rsidR="00560E9B" w:rsidRPr="00FC0C52" w:rsidRDefault="00560E9B" w:rsidP="00560E9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560E9B" w:rsidRPr="00FC0C52" w:rsidRDefault="00895DBB" w:rsidP="00560E9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95DBB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Nota: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560E9B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ha il diritto di chiedere all’offerente delle analisi di determinati elementi dell’offerta assegnandogli un termine perentorio. Se l’offerente non le presenta o le presenta in modo inadeguato, il committente può anche escludere l’offerta.</w:t>
            </w:r>
          </w:p>
        </w:tc>
        <w:tc>
          <w:tcPr>
            <w:tcW w:w="1280" w:type="dxa"/>
          </w:tcPr>
          <w:p w:rsidR="0086018F" w:rsidRPr="00FC0C52" w:rsidRDefault="0086018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6" w:type="dxa"/>
          </w:tcPr>
          <w:p w:rsidR="0086018F" w:rsidRPr="00FC0C52" w:rsidRDefault="0086018F" w:rsidP="001C4D5F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</w:t>
            </w:r>
            <w:r w:rsidR="003B4BD0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D37931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5,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AC77C8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25, </w:t>
            </w:r>
            <w:r w:rsidR="003B4BD0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33, 34,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36, 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37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</w:t>
            </w:r>
            <w:r w:rsidR="00D37931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38</w:t>
            </w:r>
            <w:r w:rsidR="00F825A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39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; </w:t>
            </w:r>
          </w:p>
          <w:p w:rsidR="0086018F" w:rsidRPr="00FC0C52" w:rsidRDefault="0086018F" w:rsidP="001C4D5F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</w:t>
            </w:r>
            <w:r w:rsidR="00DF6FC9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t. 42</w:t>
            </w:r>
            <w:r w:rsidR="00560E9B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43, 54</w:t>
            </w:r>
            <w:r w:rsidR="00DF6FC9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</w:t>
            </w:r>
            <w:r w:rsidR="00560E9B"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55 </w:t>
            </w:r>
            <w:proofErr w:type="spellStart"/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FC0C5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33" w:type="dxa"/>
          </w:tcPr>
          <w:p w:rsidR="0086018F" w:rsidRPr="00FC0C52" w:rsidRDefault="0086018F" w:rsidP="000D47A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 w:rsidRPr="00FC0C52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Modelli e formulari</w:t>
            </w:r>
          </w:p>
          <w:p w:rsidR="0086018F" w:rsidRPr="00FC0C52" w:rsidRDefault="00FF4488" w:rsidP="000D47A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hyperlink r:id="rId15" w:history="1"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“Lettera delibera</w:t>
              </w:r>
              <w:r w:rsidR="00D51708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 committente</w:t>
              </w:r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 procedura libera CIAP</w:t>
              </w:r>
            </w:hyperlink>
            <w:r w:rsidR="0086018F" w:rsidRPr="00FC0C52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”</w:t>
            </w:r>
          </w:p>
          <w:p w:rsidR="0086018F" w:rsidRPr="00FC0C52" w:rsidRDefault="0086018F" w:rsidP="000D47A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  <w:p w:rsidR="0086018F" w:rsidRPr="00FC0C52" w:rsidRDefault="00FF4488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hyperlink r:id="rId16" w:history="1"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“Lettera delibera</w:t>
              </w:r>
              <w:r w:rsidR="00D51708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 committente</w:t>
              </w:r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 procedura libera </w:t>
              </w:r>
              <w:proofErr w:type="spellStart"/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LCPubb</w:t>
              </w:r>
              <w:proofErr w:type="spellEnd"/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”</w:t>
              </w:r>
            </w:hyperlink>
          </w:p>
          <w:p w:rsidR="0086018F" w:rsidRPr="00FC0C52" w:rsidRDefault="0086018F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  <w:p w:rsidR="0086018F" w:rsidRPr="00FC0C52" w:rsidRDefault="00FF4488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hyperlink r:id="rId17" w:history="1"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“Lettera annullamento procedura libera CIAP”</w:t>
              </w:r>
            </w:hyperlink>
          </w:p>
          <w:p w:rsidR="0086018F" w:rsidRPr="00FC0C52" w:rsidRDefault="0086018F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  <w:p w:rsidR="0086018F" w:rsidRPr="00FC0C52" w:rsidRDefault="00FF4488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hyperlink r:id="rId18" w:history="1"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“Lettera annullamento procedura libera </w:t>
              </w:r>
              <w:proofErr w:type="spellStart"/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LCPubb</w:t>
              </w:r>
              <w:proofErr w:type="spellEnd"/>
              <w:r w:rsidR="0086018F" w:rsidRPr="00FC0C52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”</w:t>
              </w:r>
            </w:hyperlink>
          </w:p>
          <w:p w:rsidR="0086018F" w:rsidRPr="00FC0C52" w:rsidRDefault="0086018F" w:rsidP="004356E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6018F" w:rsidRPr="00FF4488" w:rsidTr="00FC0C52">
        <w:trPr>
          <w:trHeight w:val="235"/>
        </w:trPr>
        <w:tc>
          <w:tcPr>
            <w:tcW w:w="5516" w:type="dxa"/>
            <w:vAlign w:val="center"/>
          </w:tcPr>
          <w:p w:rsidR="0086018F" w:rsidRPr="00DB43E9" w:rsidRDefault="0086018F" w:rsidP="00DB43E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4"/>
                <w:szCs w:val="16"/>
                <w:lang w:val="it-IT" w:eastAsia="it-IT"/>
              </w:rPr>
            </w:pPr>
            <w:r w:rsidRPr="00DB43E9">
              <w:rPr>
                <w:rFonts w:ascii="Gill Sans MT" w:eastAsia="Times New Roman" w:hAnsi="Gill Sans MT" w:cs="Arial"/>
                <w:b/>
                <w:sz w:val="14"/>
                <w:szCs w:val="16"/>
                <w:lang w:val="it-IT" w:eastAsia="it-IT"/>
              </w:rPr>
              <w:lastRenderedPageBreak/>
              <w:t xml:space="preserve">FINE – </w:t>
            </w:r>
            <w:r w:rsidRPr="00DB43E9">
              <w:rPr>
                <w:rFonts w:ascii="Gill Sans MT" w:eastAsia="Times New Roman" w:hAnsi="Gill Sans MT" w:cs="Arial"/>
                <w:b/>
                <w:color w:val="FF0000"/>
                <w:sz w:val="14"/>
                <w:szCs w:val="16"/>
                <w:lang w:val="it-IT" w:eastAsia="it-IT"/>
              </w:rPr>
              <w:t>OUTPUT: Decisione di aggiudicazione, esclusione o annullamento</w:t>
            </w:r>
          </w:p>
        </w:tc>
        <w:tc>
          <w:tcPr>
            <w:tcW w:w="1280" w:type="dxa"/>
          </w:tcPr>
          <w:p w:rsidR="0086018F" w:rsidRPr="000561BF" w:rsidRDefault="0086018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6"/>
                <w:szCs w:val="16"/>
                <w:lang w:val="it-IT" w:eastAsia="it-IT"/>
              </w:rPr>
            </w:pPr>
          </w:p>
        </w:tc>
        <w:tc>
          <w:tcPr>
            <w:tcW w:w="1706" w:type="dxa"/>
          </w:tcPr>
          <w:p w:rsidR="0086018F" w:rsidRPr="000561BF" w:rsidRDefault="0086018F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1333" w:type="dxa"/>
          </w:tcPr>
          <w:p w:rsidR="0086018F" w:rsidRPr="000561BF" w:rsidRDefault="0086018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6"/>
                <w:szCs w:val="16"/>
                <w:lang w:val="it-IT" w:eastAsia="it-IT"/>
              </w:rPr>
            </w:pPr>
          </w:p>
        </w:tc>
      </w:tr>
    </w:tbl>
    <w:p w:rsidR="00DB43E9" w:rsidRPr="00DB43E9" w:rsidRDefault="00DB43E9" w:rsidP="00DB43E9">
      <w:pPr>
        <w:pStyle w:val="Nessunaspaziatura"/>
        <w:rPr>
          <w:sz w:val="2"/>
          <w:szCs w:val="2"/>
          <w:lang w:val="it-IT" w:eastAsia="it-IT"/>
        </w:rPr>
      </w:pPr>
    </w:p>
    <w:sectPr w:rsidR="00DB43E9" w:rsidRPr="00DB43E9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64" w:rsidRDefault="00D67F64" w:rsidP="00816C92">
      <w:pPr>
        <w:spacing w:after="0" w:line="240" w:lineRule="auto"/>
      </w:pPr>
      <w:r>
        <w:separator/>
      </w:r>
    </w:p>
  </w:endnote>
  <w:endnote w:type="continuationSeparator" w:id="0">
    <w:p w:rsidR="00D67F64" w:rsidRDefault="00D67F64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Calibri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0126E185" wp14:editId="4BA65D38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8530622" wp14:editId="341F3506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2C41E586" wp14:editId="770EFDF3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15313CEE" wp14:editId="1CFB2E6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FF448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54674170" r:id="rId2"/>
      </w:pict>
    </w:r>
    <w:r w:rsidR="00FF4488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54674171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FF4488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26.06.2020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FF448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4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FF448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FF4488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26.06.2020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FF448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4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FF448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5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64" w:rsidRDefault="00D67F64" w:rsidP="00816C92">
      <w:pPr>
        <w:spacing w:after="0" w:line="240" w:lineRule="auto"/>
      </w:pPr>
      <w:r>
        <w:separator/>
      </w:r>
    </w:p>
  </w:footnote>
  <w:footnote w:type="continuationSeparator" w:id="0">
    <w:p w:rsidR="00D67F64" w:rsidRDefault="00D67F64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A06777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0E477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</w:t>
          </w:r>
          <w:r w:rsidR="00775A0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f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DA4D4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Procedura di p</w:t>
          </w:r>
          <w:r w:rsidR="00A06777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ubblico concorso</w:t>
          </w:r>
          <w:r w:rsidR="00FB40C7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e selettiva</w:t>
          </w:r>
          <w:r w:rsidR="009E7B1F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AF475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(Parte </w:t>
          </w:r>
          <w:r w:rsidR="00A06777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II</w:t>
          </w:r>
          <w:r w:rsidR="00AF475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)</w:t>
          </w:r>
          <w:r w:rsidR="00F706E1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B61"/>
    <w:multiLevelType w:val="hybridMultilevel"/>
    <w:tmpl w:val="D5A837FE"/>
    <w:lvl w:ilvl="0" w:tplc="9D1E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22CF"/>
    <w:multiLevelType w:val="hybridMultilevel"/>
    <w:tmpl w:val="076E4FF2"/>
    <w:lvl w:ilvl="0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E63344"/>
    <w:multiLevelType w:val="hybridMultilevel"/>
    <w:tmpl w:val="FA32F850"/>
    <w:lvl w:ilvl="0" w:tplc="08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03AE3"/>
    <w:multiLevelType w:val="hybridMultilevel"/>
    <w:tmpl w:val="9E385EB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B093D"/>
    <w:multiLevelType w:val="hybridMultilevel"/>
    <w:tmpl w:val="D72C5728"/>
    <w:lvl w:ilvl="0" w:tplc="F944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31470"/>
    <w:multiLevelType w:val="hybridMultilevel"/>
    <w:tmpl w:val="7A7EA93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1280D"/>
    <w:multiLevelType w:val="hybridMultilevel"/>
    <w:tmpl w:val="4ADEB46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0378A"/>
    <w:multiLevelType w:val="hybridMultilevel"/>
    <w:tmpl w:val="DFA42D4A"/>
    <w:lvl w:ilvl="0" w:tplc="08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6005B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A357B"/>
    <w:multiLevelType w:val="hybridMultilevel"/>
    <w:tmpl w:val="CEA87AF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60025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D29F5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328E3"/>
    <w:multiLevelType w:val="hybridMultilevel"/>
    <w:tmpl w:val="836C4BB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816F4"/>
    <w:multiLevelType w:val="hybridMultilevel"/>
    <w:tmpl w:val="954AD1D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86640"/>
    <w:multiLevelType w:val="hybridMultilevel"/>
    <w:tmpl w:val="C44AF588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07FC1"/>
    <w:multiLevelType w:val="hybridMultilevel"/>
    <w:tmpl w:val="AA18E64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2032A"/>
    <w:multiLevelType w:val="hybridMultilevel"/>
    <w:tmpl w:val="38CC3348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E01197"/>
    <w:multiLevelType w:val="hybridMultilevel"/>
    <w:tmpl w:val="027498C4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C1A42"/>
    <w:multiLevelType w:val="hybridMultilevel"/>
    <w:tmpl w:val="29FE4D4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F3C51"/>
    <w:multiLevelType w:val="hybridMultilevel"/>
    <w:tmpl w:val="A1EC63D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C171E"/>
    <w:multiLevelType w:val="hybridMultilevel"/>
    <w:tmpl w:val="110EC77E"/>
    <w:lvl w:ilvl="0" w:tplc="56B48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D6824"/>
    <w:multiLevelType w:val="hybridMultilevel"/>
    <w:tmpl w:val="11D096F8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186849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8611B3"/>
    <w:multiLevelType w:val="hybridMultilevel"/>
    <w:tmpl w:val="8800D35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F53B3"/>
    <w:multiLevelType w:val="hybridMultilevel"/>
    <w:tmpl w:val="C638D67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2F41F6"/>
    <w:multiLevelType w:val="hybridMultilevel"/>
    <w:tmpl w:val="9082651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656B"/>
    <w:multiLevelType w:val="hybridMultilevel"/>
    <w:tmpl w:val="077202CC"/>
    <w:lvl w:ilvl="0" w:tplc="08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6"/>
  </w:num>
  <w:num w:numId="4">
    <w:abstractNumId w:val="14"/>
  </w:num>
  <w:num w:numId="5">
    <w:abstractNumId w:val="6"/>
  </w:num>
  <w:num w:numId="6">
    <w:abstractNumId w:val="18"/>
  </w:num>
  <w:num w:numId="7">
    <w:abstractNumId w:val="0"/>
  </w:num>
  <w:num w:numId="8">
    <w:abstractNumId w:val="29"/>
  </w:num>
  <w:num w:numId="9">
    <w:abstractNumId w:val="3"/>
  </w:num>
  <w:num w:numId="10">
    <w:abstractNumId w:val="2"/>
  </w:num>
  <w:num w:numId="11">
    <w:abstractNumId w:val="27"/>
  </w:num>
  <w:num w:numId="12">
    <w:abstractNumId w:val="11"/>
  </w:num>
  <w:num w:numId="13">
    <w:abstractNumId w:val="10"/>
  </w:num>
  <w:num w:numId="14">
    <w:abstractNumId w:val="40"/>
  </w:num>
  <w:num w:numId="15">
    <w:abstractNumId w:val="28"/>
  </w:num>
  <w:num w:numId="16">
    <w:abstractNumId w:val="42"/>
  </w:num>
  <w:num w:numId="17">
    <w:abstractNumId w:val="37"/>
  </w:num>
  <w:num w:numId="18">
    <w:abstractNumId w:val="7"/>
  </w:num>
  <w:num w:numId="19">
    <w:abstractNumId w:val="19"/>
  </w:num>
  <w:num w:numId="20">
    <w:abstractNumId w:val="31"/>
  </w:num>
  <w:num w:numId="21">
    <w:abstractNumId w:val="38"/>
  </w:num>
  <w:num w:numId="22">
    <w:abstractNumId w:val="20"/>
  </w:num>
  <w:num w:numId="23">
    <w:abstractNumId w:val="25"/>
  </w:num>
  <w:num w:numId="24">
    <w:abstractNumId w:val="9"/>
  </w:num>
  <w:num w:numId="25">
    <w:abstractNumId w:val="41"/>
  </w:num>
  <w:num w:numId="26">
    <w:abstractNumId w:val="33"/>
  </w:num>
  <w:num w:numId="27">
    <w:abstractNumId w:val="30"/>
  </w:num>
  <w:num w:numId="28">
    <w:abstractNumId w:val="21"/>
  </w:num>
  <w:num w:numId="29">
    <w:abstractNumId w:val="5"/>
  </w:num>
  <w:num w:numId="30">
    <w:abstractNumId w:val="22"/>
  </w:num>
  <w:num w:numId="31">
    <w:abstractNumId w:val="4"/>
  </w:num>
  <w:num w:numId="32">
    <w:abstractNumId w:val="24"/>
  </w:num>
  <w:num w:numId="33">
    <w:abstractNumId w:val="16"/>
  </w:num>
  <w:num w:numId="34">
    <w:abstractNumId w:val="39"/>
  </w:num>
  <w:num w:numId="35">
    <w:abstractNumId w:val="43"/>
  </w:num>
  <w:num w:numId="36">
    <w:abstractNumId w:val="13"/>
  </w:num>
  <w:num w:numId="37">
    <w:abstractNumId w:val="32"/>
  </w:num>
  <w:num w:numId="38">
    <w:abstractNumId w:val="15"/>
  </w:num>
  <w:num w:numId="39">
    <w:abstractNumId w:val="35"/>
  </w:num>
  <w:num w:numId="40">
    <w:abstractNumId w:val="23"/>
  </w:num>
  <w:num w:numId="41">
    <w:abstractNumId w:val="34"/>
  </w:num>
  <w:num w:numId="42">
    <w:abstractNumId w:val="12"/>
  </w:num>
  <w:num w:numId="43">
    <w:abstractNumId w:val="2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15D11"/>
    <w:rsid w:val="00037AFA"/>
    <w:rsid w:val="000454BC"/>
    <w:rsid w:val="00047E12"/>
    <w:rsid w:val="00050025"/>
    <w:rsid w:val="0005253F"/>
    <w:rsid w:val="000532EF"/>
    <w:rsid w:val="000561BF"/>
    <w:rsid w:val="0006374E"/>
    <w:rsid w:val="00094ABE"/>
    <w:rsid w:val="000976C3"/>
    <w:rsid w:val="000A3C9C"/>
    <w:rsid w:val="000B0500"/>
    <w:rsid w:val="000B2158"/>
    <w:rsid w:val="000B266F"/>
    <w:rsid w:val="000C23F5"/>
    <w:rsid w:val="000D47AF"/>
    <w:rsid w:val="000E4772"/>
    <w:rsid w:val="00106403"/>
    <w:rsid w:val="00114076"/>
    <w:rsid w:val="00114BC1"/>
    <w:rsid w:val="00114E8C"/>
    <w:rsid w:val="00122D0C"/>
    <w:rsid w:val="001236DD"/>
    <w:rsid w:val="001354B7"/>
    <w:rsid w:val="00154A41"/>
    <w:rsid w:val="0017657A"/>
    <w:rsid w:val="00187648"/>
    <w:rsid w:val="0019081C"/>
    <w:rsid w:val="001C4D5F"/>
    <w:rsid w:val="001C5B68"/>
    <w:rsid w:val="001E1FEC"/>
    <w:rsid w:val="001F408F"/>
    <w:rsid w:val="00222F5B"/>
    <w:rsid w:val="002371CE"/>
    <w:rsid w:val="00250455"/>
    <w:rsid w:val="00273DE6"/>
    <w:rsid w:val="00285F53"/>
    <w:rsid w:val="00287F06"/>
    <w:rsid w:val="00294BA8"/>
    <w:rsid w:val="00294C93"/>
    <w:rsid w:val="00297B1B"/>
    <w:rsid w:val="002A2554"/>
    <w:rsid w:val="002A2D98"/>
    <w:rsid w:val="002A5446"/>
    <w:rsid w:val="002C32C7"/>
    <w:rsid w:val="002E552F"/>
    <w:rsid w:val="002F060D"/>
    <w:rsid w:val="003047D0"/>
    <w:rsid w:val="00305D9A"/>
    <w:rsid w:val="003121B4"/>
    <w:rsid w:val="003157E2"/>
    <w:rsid w:val="00321A53"/>
    <w:rsid w:val="003349B8"/>
    <w:rsid w:val="00355B03"/>
    <w:rsid w:val="00360CC8"/>
    <w:rsid w:val="003A68F2"/>
    <w:rsid w:val="003B1C96"/>
    <w:rsid w:val="003B4BD0"/>
    <w:rsid w:val="003C0244"/>
    <w:rsid w:val="003D1EBD"/>
    <w:rsid w:val="003E3722"/>
    <w:rsid w:val="00410D2A"/>
    <w:rsid w:val="004116EE"/>
    <w:rsid w:val="0041438D"/>
    <w:rsid w:val="00423327"/>
    <w:rsid w:val="00430438"/>
    <w:rsid w:val="004356EC"/>
    <w:rsid w:val="00441094"/>
    <w:rsid w:val="004825DC"/>
    <w:rsid w:val="004C2B3A"/>
    <w:rsid w:val="00507264"/>
    <w:rsid w:val="005257D6"/>
    <w:rsid w:val="00531519"/>
    <w:rsid w:val="00560E9B"/>
    <w:rsid w:val="00571DFC"/>
    <w:rsid w:val="00576930"/>
    <w:rsid w:val="005839E6"/>
    <w:rsid w:val="005B30AE"/>
    <w:rsid w:val="005C3299"/>
    <w:rsid w:val="005D52AA"/>
    <w:rsid w:val="005E7B4B"/>
    <w:rsid w:val="0061542C"/>
    <w:rsid w:val="006224F0"/>
    <w:rsid w:val="0062765D"/>
    <w:rsid w:val="006424D9"/>
    <w:rsid w:val="00645EB9"/>
    <w:rsid w:val="00660043"/>
    <w:rsid w:val="0066605B"/>
    <w:rsid w:val="00696941"/>
    <w:rsid w:val="006A67EB"/>
    <w:rsid w:val="006C2136"/>
    <w:rsid w:val="006C6F2B"/>
    <w:rsid w:val="006D2286"/>
    <w:rsid w:val="006D7E96"/>
    <w:rsid w:val="006E0678"/>
    <w:rsid w:val="006E5B52"/>
    <w:rsid w:val="006F351A"/>
    <w:rsid w:val="00711D8A"/>
    <w:rsid w:val="00750BF1"/>
    <w:rsid w:val="00762E2D"/>
    <w:rsid w:val="00766EB8"/>
    <w:rsid w:val="00773B26"/>
    <w:rsid w:val="00775A0A"/>
    <w:rsid w:val="00786FB8"/>
    <w:rsid w:val="00796FE1"/>
    <w:rsid w:val="007C55EE"/>
    <w:rsid w:val="007D5163"/>
    <w:rsid w:val="007E37AB"/>
    <w:rsid w:val="007E7703"/>
    <w:rsid w:val="007F31C1"/>
    <w:rsid w:val="0080703C"/>
    <w:rsid w:val="00811067"/>
    <w:rsid w:val="00816C92"/>
    <w:rsid w:val="00844AB0"/>
    <w:rsid w:val="0085733D"/>
    <w:rsid w:val="0086018F"/>
    <w:rsid w:val="00861327"/>
    <w:rsid w:val="008613F2"/>
    <w:rsid w:val="00884914"/>
    <w:rsid w:val="008850DF"/>
    <w:rsid w:val="00895DBB"/>
    <w:rsid w:val="00896091"/>
    <w:rsid w:val="008A0133"/>
    <w:rsid w:val="008A229B"/>
    <w:rsid w:val="008A25C9"/>
    <w:rsid w:val="008C13B7"/>
    <w:rsid w:val="008E298F"/>
    <w:rsid w:val="008E29CD"/>
    <w:rsid w:val="008E2D1F"/>
    <w:rsid w:val="008E740D"/>
    <w:rsid w:val="008E75E1"/>
    <w:rsid w:val="00913073"/>
    <w:rsid w:val="00927050"/>
    <w:rsid w:val="00943BE6"/>
    <w:rsid w:val="009442C1"/>
    <w:rsid w:val="00947A12"/>
    <w:rsid w:val="00993FA3"/>
    <w:rsid w:val="009A7F86"/>
    <w:rsid w:val="009B73BC"/>
    <w:rsid w:val="009C0BBD"/>
    <w:rsid w:val="009D5F6D"/>
    <w:rsid w:val="009E7B1F"/>
    <w:rsid w:val="009F68CB"/>
    <w:rsid w:val="00A06777"/>
    <w:rsid w:val="00A1132E"/>
    <w:rsid w:val="00A15BE3"/>
    <w:rsid w:val="00A24B67"/>
    <w:rsid w:val="00A25430"/>
    <w:rsid w:val="00A45EA5"/>
    <w:rsid w:val="00A72201"/>
    <w:rsid w:val="00A93A8B"/>
    <w:rsid w:val="00AA0E54"/>
    <w:rsid w:val="00AB2CC0"/>
    <w:rsid w:val="00AC41C5"/>
    <w:rsid w:val="00AC77C8"/>
    <w:rsid w:val="00AD342E"/>
    <w:rsid w:val="00AD49F6"/>
    <w:rsid w:val="00AE47D3"/>
    <w:rsid w:val="00AE541A"/>
    <w:rsid w:val="00AF475E"/>
    <w:rsid w:val="00B27C2D"/>
    <w:rsid w:val="00B310F8"/>
    <w:rsid w:val="00B402F7"/>
    <w:rsid w:val="00B6491A"/>
    <w:rsid w:val="00B65A25"/>
    <w:rsid w:val="00B660A6"/>
    <w:rsid w:val="00B661AF"/>
    <w:rsid w:val="00B712F3"/>
    <w:rsid w:val="00B817D1"/>
    <w:rsid w:val="00B83236"/>
    <w:rsid w:val="00B851A4"/>
    <w:rsid w:val="00B97A4D"/>
    <w:rsid w:val="00BA7275"/>
    <w:rsid w:val="00BC35A4"/>
    <w:rsid w:val="00BD3BC0"/>
    <w:rsid w:val="00BD42FA"/>
    <w:rsid w:val="00BE7AE5"/>
    <w:rsid w:val="00C25F51"/>
    <w:rsid w:val="00C41E37"/>
    <w:rsid w:val="00C56BB4"/>
    <w:rsid w:val="00C670E0"/>
    <w:rsid w:val="00C9699C"/>
    <w:rsid w:val="00CC04D8"/>
    <w:rsid w:val="00CC1457"/>
    <w:rsid w:val="00CC2BC0"/>
    <w:rsid w:val="00CF68BF"/>
    <w:rsid w:val="00D16563"/>
    <w:rsid w:val="00D17199"/>
    <w:rsid w:val="00D20033"/>
    <w:rsid w:val="00D24657"/>
    <w:rsid w:val="00D361E6"/>
    <w:rsid w:val="00D3755A"/>
    <w:rsid w:val="00D37931"/>
    <w:rsid w:val="00D51708"/>
    <w:rsid w:val="00D6091F"/>
    <w:rsid w:val="00D67F64"/>
    <w:rsid w:val="00D74C47"/>
    <w:rsid w:val="00D8313C"/>
    <w:rsid w:val="00D933DF"/>
    <w:rsid w:val="00D9346B"/>
    <w:rsid w:val="00D93512"/>
    <w:rsid w:val="00DA4D40"/>
    <w:rsid w:val="00DB43E9"/>
    <w:rsid w:val="00DC254A"/>
    <w:rsid w:val="00DC52E1"/>
    <w:rsid w:val="00DF6FC9"/>
    <w:rsid w:val="00E01F4D"/>
    <w:rsid w:val="00E04997"/>
    <w:rsid w:val="00E05549"/>
    <w:rsid w:val="00E31D4F"/>
    <w:rsid w:val="00E33E91"/>
    <w:rsid w:val="00E341A8"/>
    <w:rsid w:val="00E34B26"/>
    <w:rsid w:val="00E70CCA"/>
    <w:rsid w:val="00E7206B"/>
    <w:rsid w:val="00E763C4"/>
    <w:rsid w:val="00E81863"/>
    <w:rsid w:val="00E828A2"/>
    <w:rsid w:val="00E97C6F"/>
    <w:rsid w:val="00EA5A1B"/>
    <w:rsid w:val="00EB3302"/>
    <w:rsid w:val="00EB5088"/>
    <w:rsid w:val="00EC4D5B"/>
    <w:rsid w:val="00ED0729"/>
    <w:rsid w:val="00ED11A8"/>
    <w:rsid w:val="00EF44A6"/>
    <w:rsid w:val="00F01388"/>
    <w:rsid w:val="00F05F19"/>
    <w:rsid w:val="00F0605B"/>
    <w:rsid w:val="00F22C81"/>
    <w:rsid w:val="00F300DD"/>
    <w:rsid w:val="00F35236"/>
    <w:rsid w:val="00F43D50"/>
    <w:rsid w:val="00F6619D"/>
    <w:rsid w:val="00F706E1"/>
    <w:rsid w:val="00F735BB"/>
    <w:rsid w:val="00F744CC"/>
    <w:rsid w:val="00F825AC"/>
    <w:rsid w:val="00F96F4E"/>
    <w:rsid w:val="00FA2353"/>
    <w:rsid w:val="00FA4487"/>
    <w:rsid w:val="00FB40C7"/>
    <w:rsid w:val="00FC0C52"/>
    <w:rsid w:val="00FC208C"/>
    <w:rsid w:val="00FC485D"/>
    <w:rsid w:val="00FD3976"/>
    <w:rsid w:val="00FE4385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B266F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DB43E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C0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0C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0C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0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0C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B266F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DB43E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C0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0C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C0C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0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0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4.ti.ch/dt/sg/uvcp/temi/vigilanza-e-commesse-pubbliche/commesse-pubbliche-2020/schede-informative/verifica-delle-offerte/" TargetMode="External"/><Relationship Id="rId18" Type="http://schemas.openxmlformats.org/officeDocument/2006/relationships/hyperlink" Target="https://www4.ti.ch/dt/sg/uvcp/temi/vigilanza-e-commesse-pubbliche/commesse-pubbliche-2020/schede-informative/fase-decisionale/annullamento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4.ti.ch/dt/sg/uvcp/temi/vigilanza-e-commesse-pubbliche/commesse-pubbliche-2020/schede-informative/apertura-delle-offerte/" TargetMode="External"/><Relationship Id="rId17" Type="http://schemas.openxmlformats.org/officeDocument/2006/relationships/hyperlink" Target="https://www4.ti.ch/dt/sg/uvcp/temi/vigilanza-e-commesse-pubbliche/commesse-pubbliche-2020/schede-informative/fase-decisionale/annullament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4.ti.ch/dt/sg/uvcp/temi/vigilanza-e-commesse-pubbliche/commesse-pubbliche-2020/schede-informative/fase-decisionale/aggiudicazion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apertura-delle-offert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4.ti.ch/dt/sg/uvcp/temi/vigilanza-e-commesse-pubbliche/commesse-pubbliche-2020/schede-informative/fase-decisionale/aggiudicazione/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4.ti.ch/dt/sg/uvcp/temi/vigilanza-e-commesse-pubbliche/commesse-pubbliche-2020/schede-informative/verifica-delle-offert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5AB6-AF70-4B3D-8350-3DC5549E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39</cp:revision>
  <cp:lastPrinted>2019-06-05T05:53:00Z</cp:lastPrinted>
  <dcterms:created xsi:type="dcterms:W3CDTF">2019-09-30T10:12:00Z</dcterms:created>
  <dcterms:modified xsi:type="dcterms:W3CDTF">2020-06-26T08:56:00Z</dcterms:modified>
</cp:coreProperties>
</file>